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B5F7" w14:textId="2CA5B5A4" w:rsidR="00CE6E0D" w:rsidRPr="009F6173" w:rsidRDefault="00CE6E0D" w:rsidP="00CE6E0D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9F6173">
        <w:rPr>
          <w:rFonts w:cs="Arial"/>
          <w:lang w:val="en-US"/>
        </w:rPr>
        <w:t>3GPP TSG-RAN WG1 Meeting #9</w:t>
      </w:r>
      <w:r w:rsidR="00CC6348">
        <w:rPr>
          <w:rFonts w:cs="Arial"/>
          <w:lang w:val="en-US"/>
        </w:rPr>
        <w:t>7</w:t>
      </w:r>
      <w:r w:rsidRPr="009F6173">
        <w:rPr>
          <w:rFonts w:cs="Arial"/>
          <w:lang w:val="en-US"/>
        </w:rPr>
        <w:tab/>
      </w:r>
      <w:r w:rsidRPr="009F6173">
        <w:rPr>
          <w:rFonts w:cs="Arial"/>
          <w:sz w:val="32"/>
          <w:szCs w:val="32"/>
          <w:lang w:val="en-US"/>
        </w:rPr>
        <w:t>R1-1</w:t>
      </w:r>
      <w:r w:rsidRPr="00285843">
        <w:rPr>
          <w:rFonts w:cs="Arial"/>
          <w:sz w:val="32"/>
          <w:szCs w:val="32"/>
          <w:lang w:val="en-US"/>
        </w:rPr>
        <w:t>9</w:t>
      </w:r>
      <w:r w:rsidR="00FB1D80" w:rsidRPr="00285843">
        <w:rPr>
          <w:rFonts w:cs="Arial"/>
          <w:sz w:val="32"/>
          <w:szCs w:val="32"/>
          <w:lang w:val="en-US"/>
        </w:rPr>
        <w:t>07139</w:t>
      </w:r>
    </w:p>
    <w:p w14:paraId="62AC86BE" w14:textId="68532F69" w:rsidR="00CE6E0D" w:rsidRPr="009F6173" w:rsidRDefault="00CC6348" w:rsidP="00CE6E0D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Reno</w:t>
      </w:r>
      <w:r w:rsidR="00CE6E0D" w:rsidRPr="009F617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  <w:r w:rsidR="00CE6E0D" w:rsidRPr="009F617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May</w:t>
      </w:r>
      <w:r w:rsidR="00CE6E0D" w:rsidRPr="009F6173">
        <w:rPr>
          <w:rFonts w:cs="Arial"/>
          <w:lang w:val="en-US"/>
        </w:rPr>
        <w:t xml:space="preserve"> </w:t>
      </w:r>
      <w:r w:rsidR="00503251">
        <w:rPr>
          <w:rFonts w:cs="Arial"/>
          <w:lang w:val="en-US"/>
        </w:rPr>
        <w:t>13</w:t>
      </w:r>
      <w:r w:rsidR="00CE6E0D" w:rsidRPr="009F6173">
        <w:rPr>
          <w:rFonts w:cs="Arial"/>
          <w:vertAlign w:val="superscript"/>
          <w:lang w:val="en-US"/>
        </w:rPr>
        <w:t>th</w:t>
      </w:r>
      <w:r w:rsidR="00CE6E0D" w:rsidRPr="009F6173">
        <w:rPr>
          <w:rFonts w:cs="Arial"/>
          <w:lang w:val="en-US"/>
        </w:rPr>
        <w:t xml:space="preserve"> – 1</w:t>
      </w:r>
      <w:r w:rsidR="00503251">
        <w:rPr>
          <w:rFonts w:cs="Arial"/>
          <w:lang w:val="en-US"/>
        </w:rPr>
        <w:t>7</w:t>
      </w:r>
      <w:r w:rsidR="00CE6E0D" w:rsidRPr="009F6173">
        <w:rPr>
          <w:rFonts w:cs="Arial"/>
          <w:vertAlign w:val="superscript"/>
          <w:lang w:val="en-US"/>
        </w:rPr>
        <w:t>t</w:t>
      </w:r>
      <w:r w:rsidR="00CE6E0D">
        <w:rPr>
          <w:rFonts w:cs="Arial"/>
          <w:vertAlign w:val="superscript"/>
          <w:lang w:val="en-US"/>
        </w:rPr>
        <w:t>h</w:t>
      </w:r>
      <w:r w:rsidR="00CE6E0D" w:rsidRPr="009F6173">
        <w:rPr>
          <w:rFonts w:cs="Arial"/>
          <w:lang w:val="en-US"/>
        </w:rPr>
        <w:t xml:space="preserve"> 2019</w:t>
      </w:r>
      <w:r w:rsidR="00AB0CA0">
        <w:rPr>
          <w:rFonts w:cs="Arial"/>
          <w:lang w:val="en-US"/>
        </w:rPr>
        <w:tab/>
        <w:t xml:space="preserve">(Resubmission of </w:t>
      </w:r>
      <w:r w:rsidR="00AB0CA0" w:rsidRPr="00AB0CA0">
        <w:rPr>
          <w:rFonts w:cs="Arial"/>
          <w:lang w:val="en-US"/>
        </w:rPr>
        <w:t>R1-1905500</w:t>
      </w:r>
      <w:r w:rsidR="00AB0CA0">
        <w:rPr>
          <w:rFonts w:cs="Arial"/>
          <w:lang w:val="en-US"/>
        </w:rPr>
        <w:t>)</w:t>
      </w:r>
    </w:p>
    <w:p w14:paraId="0FBA01D8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</w:p>
    <w:p w14:paraId="0ED25777" w14:textId="3673ACF6" w:rsidR="002820B0" w:rsidRPr="00FB1D80" w:rsidRDefault="002820B0" w:rsidP="002820B0">
      <w:pPr>
        <w:pStyle w:val="3GPPHeader"/>
        <w:rPr>
          <w:sz w:val="22"/>
          <w:szCs w:val="22"/>
          <w:lang w:val="en-US"/>
        </w:rPr>
      </w:pPr>
      <w:r w:rsidRPr="00FB1D80">
        <w:rPr>
          <w:sz w:val="22"/>
          <w:szCs w:val="22"/>
          <w:lang w:val="en-US"/>
        </w:rPr>
        <w:t>Agenda Item:</w:t>
      </w:r>
      <w:r w:rsidRPr="00FB1D80">
        <w:rPr>
          <w:sz w:val="22"/>
          <w:szCs w:val="22"/>
          <w:lang w:val="en-US"/>
        </w:rPr>
        <w:tab/>
      </w:r>
      <w:r w:rsidR="00BA19D0" w:rsidRPr="00FB1D80">
        <w:rPr>
          <w:sz w:val="22"/>
          <w:szCs w:val="22"/>
          <w:lang w:val="en-US"/>
        </w:rPr>
        <w:t>7.2.4.2.3</w:t>
      </w:r>
    </w:p>
    <w:p w14:paraId="36723816" w14:textId="77777777" w:rsidR="002820B0" w:rsidRPr="00BA19D0" w:rsidRDefault="002820B0" w:rsidP="002820B0">
      <w:pPr>
        <w:pStyle w:val="3GPPHeader"/>
        <w:rPr>
          <w:sz w:val="22"/>
          <w:szCs w:val="22"/>
        </w:rPr>
      </w:pPr>
      <w:r w:rsidRPr="00BA19D0">
        <w:rPr>
          <w:sz w:val="22"/>
          <w:szCs w:val="22"/>
        </w:rPr>
        <w:t>Source:</w:t>
      </w:r>
      <w:r w:rsidRPr="00BA19D0">
        <w:rPr>
          <w:sz w:val="22"/>
          <w:szCs w:val="22"/>
        </w:rPr>
        <w:tab/>
        <w:t>Ericsson</w:t>
      </w:r>
    </w:p>
    <w:p w14:paraId="56DE853F" w14:textId="2C470E69" w:rsidR="002820B0" w:rsidRPr="00BA19D0" w:rsidRDefault="002820B0" w:rsidP="002820B0">
      <w:pPr>
        <w:pStyle w:val="3GPPHeader"/>
        <w:rPr>
          <w:sz w:val="22"/>
          <w:szCs w:val="22"/>
        </w:rPr>
      </w:pPr>
      <w:r w:rsidRPr="00BA19D0">
        <w:rPr>
          <w:sz w:val="22"/>
          <w:szCs w:val="22"/>
        </w:rPr>
        <w:t>Title:</w:t>
      </w:r>
      <w:r w:rsidRPr="00BA19D0">
        <w:rPr>
          <w:sz w:val="22"/>
          <w:szCs w:val="22"/>
        </w:rPr>
        <w:tab/>
      </w:r>
      <w:r w:rsidR="00DE796B" w:rsidRPr="00BA19D0">
        <w:rPr>
          <w:sz w:val="22"/>
          <w:szCs w:val="22"/>
        </w:rPr>
        <w:t>Simultaneous operation of Mode 1 and M</w:t>
      </w:r>
      <w:r w:rsidR="00920922" w:rsidRPr="00BA19D0">
        <w:rPr>
          <w:sz w:val="22"/>
          <w:szCs w:val="22"/>
        </w:rPr>
        <w:t>ode 2</w:t>
      </w:r>
    </w:p>
    <w:p w14:paraId="31AAB940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 w:rsidRPr="00BA19D0">
        <w:rPr>
          <w:sz w:val="22"/>
          <w:szCs w:val="22"/>
        </w:rPr>
        <w:t>Document for:</w:t>
      </w:r>
      <w:r w:rsidRPr="00BA19D0">
        <w:rPr>
          <w:sz w:val="22"/>
          <w:szCs w:val="22"/>
        </w:rPr>
        <w:tab/>
        <w:t>Discussion, Decision</w:t>
      </w:r>
    </w:p>
    <w:p w14:paraId="7D918D49" w14:textId="77777777" w:rsidR="002820B0" w:rsidRPr="00CE0424" w:rsidRDefault="002820B0" w:rsidP="002820B0"/>
    <w:p w14:paraId="50C8FC7E" w14:textId="77777777" w:rsidR="00CC7EF3" w:rsidRPr="00CE0424" w:rsidRDefault="00CC7EF3" w:rsidP="00CC7EF3">
      <w:pPr>
        <w:pStyle w:val="Heading1"/>
      </w:pPr>
      <w:r>
        <w:t>1</w:t>
      </w:r>
      <w:r>
        <w:tab/>
      </w:r>
      <w:r w:rsidRPr="00CE0424">
        <w:t>Introduction</w:t>
      </w:r>
    </w:p>
    <w:p w14:paraId="498B5733" w14:textId="77777777" w:rsidR="00CC7EF3" w:rsidRDefault="00CC7EF3" w:rsidP="00CC7EF3">
      <w:pPr>
        <w:pStyle w:val="BodyText"/>
        <w:rPr>
          <w:lang w:val="en-IN"/>
        </w:rPr>
      </w:pPr>
      <w:r>
        <w:rPr>
          <w:lang w:val="en-IN"/>
        </w:rPr>
        <w:t>The NR V2X WID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EF3" w14:paraId="21A477BB" w14:textId="77777777" w:rsidTr="00EE7B62">
        <w:tc>
          <w:tcPr>
            <w:tcW w:w="9629" w:type="dxa"/>
          </w:tcPr>
          <w:p w14:paraId="019D08D0" w14:textId="77777777" w:rsidR="00CC7EF3" w:rsidRDefault="00CC7EF3" w:rsidP="00CC7EF3">
            <w:pPr>
              <w:numPr>
                <w:ilvl w:val="0"/>
                <w:numId w:val="32"/>
              </w:numPr>
              <w:spacing w:before="240"/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14:paraId="0067B968" w14:textId="77777777" w:rsidR="00CC7EF3" w:rsidRDefault="00CC7EF3" w:rsidP="00CC7EF3">
            <w:pPr>
              <w:numPr>
                <w:ilvl w:val="1"/>
                <w:numId w:val="32"/>
              </w:numPr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14:paraId="264073D8" w14:textId="77777777" w:rsidR="00CC7EF3" w:rsidRPr="002406A6" w:rsidRDefault="00CC7EF3" w:rsidP="00CC7EF3">
            <w:pPr>
              <w:numPr>
                <w:ilvl w:val="2"/>
                <w:numId w:val="32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 xml:space="preserve">NR sidelink scheduling by NR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and LTE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as per the study outcome</w:t>
            </w:r>
          </w:p>
          <w:p w14:paraId="11A8F921" w14:textId="77777777" w:rsidR="00CC7EF3" w:rsidRDefault="00CC7EF3" w:rsidP="00CC7EF3">
            <w:pPr>
              <w:numPr>
                <w:ilvl w:val="1"/>
                <w:numId w:val="32"/>
              </w:numPr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Mode 2</w:t>
            </w:r>
          </w:p>
          <w:p w14:paraId="1A6A11ED" w14:textId="77777777" w:rsidR="00CC7EF3" w:rsidRPr="002406A6" w:rsidRDefault="00CC7EF3" w:rsidP="00CC7EF3">
            <w:pPr>
              <w:numPr>
                <w:ilvl w:val="2"/>
                <w:numId w:val="32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 xml:space="preserve">Sensing and resource selection procedures based on sidelink pre-configuration and configuration by NR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and LTE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as per the study outcome</w:t>
            </w:r>
          </w:p>
          <w:p w14:paraId="723E67A5" w14:textId="77777777" w:rsidR="00CC7EF3" w:rsidRPr="002406A6" w:rsidRDefault="00CC7EF3" w:rsidP="00CC7EF3">
            <w:pPr>
              <w:numPr>
                <w:ilvl w:val="1"/>
                <w:numId w:val="32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>Support for simultaneous configuration of Mode 1 and Mode 2 for a UE</w:t>
            </w:r>
          </w:p>
          <w:p w14:paraId="5F1B07C5" w14:textId="77777777" w:rsidR="00CC7EF3" w:rsidRPr="002406A6" w:rsidRDefault="00CC7EF3" w:rsidP="00CC7EF3">
            <w:pPr>
              <w:numPr>
                <w:ilvl w:val="2"/>
                <w:numId w:val="32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>Transmitter UE operation in this configuration is to be discussed after the design of mode 1 only and mode 2 only.</w:t>
            </w:r>
          </w:p>
          <w:p w14:paraId="2B0600E3" w14:textId="77777777" w:rsidR="00CC7EF3" w:rsidRPr="002406A6" w:rsidRDefault="00CC7EF3" w:rsidP="00CC7EF3">
            <w:pPr>
              <w:numPr>
                <w:ilvl w:val="2"/>
                <w:numId w:val="32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 xml:space="preserve">Receiver UE can receive the transmissions without knowing the resource allocation mode used by the transmitter UE. </w:t>
            </w:r>
          </w:p>
          <w:p w14:paraId="205CC2A8" w14:textId="77777777" w:rsidR="00CC7EF3" w:rsidRPr="002406A6" w:rsidRDefault="00CC7EF3" w:rsidP="00CC7EF3">
            <w:pPr>
              <w:numPr>
                <w:ilvl w:val="1"/>
                <w:numId w:val="32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>UE relaying resource pool configuration or resource configuration is not supported in this work in Rel-16.</w:t>
            </w:r>
          </w:p>
        </w:tc>
      </w:tr>
    </w:tbl>
    <w:p w14:paraId="3D920C76" w14:textId="77777777" w:rsidR="00CC7EF3" w:rsidRPr="00A025C8" w:rsidRDefault="00CC7EF3" w:rsidP="00CC7EF3">
      <w:pPr>
        <w:pStyle w:val="BodyText"/>
        <w:spacing w:before="240"/>
        <w:rPr>
          <w:lang w:val="en-IN"/>
        </w:rPr>
      </w:pPr>
      <w:r>
        <w:rPr>
          <w:lang w:val="en-IN"/>
        </w:rPr>
        <w:t>In this paper we discuss issues related to the simultaneous operation of Mode 1 and Mode 2 for a UE.</w:t>
      </w:r>
    </w:p>
    <w:p w14:paraId="26F4E84E" w14:textId="77777777" w:rsidR="00CC7EF3" w:rsidRDefault="00CC7EF3" w:rsidP="00CC7EF3">
      <w:pPr>
        <w:pStyle w:val="Heading1"/>
      </w:pPr>
      <w:bookmarkStart w:id="0" w:name="_Ref178064866"/>
      <w:r>
        <w:t>2</w:t>
      </w:r>
      <w:r>
        <w:tab/>
      </w:r>
      <w:bookmarkEnd w:id="0"/>
      <w:r>
        <w:t xml:space="preserve">Transmitter </w:t>
      </w:r>
      <w:proofErr w:type="spellStart"/>
      <w:r>
        <w:t>behavior</w:t>
      </w:r>
      <w:proofErr w:type="spellEnd"/>
    </w:p>
    <w:p w14:paraId="1C80BF38" w14:textId="77777777" w:rsidR="00CC7EF3" w:rsidRDefault="00CC7EF3" w:rsidP="00CC7EF3">
      <w:pPr>
        <w:jc w:val="both"/>
        <w:rPr>
          <w:rFonts w:ascii="Arial" w:hAnsi="Arial" w:cs="Arial"/>
        </w:rPr>
      </w:pPr>
      <w:r w:rsidRPr="00DC05B6">
        <w:rPr>
          <w:rFonts w:ascii="Arial" w:hAnsi="Arial" w:cs="Arial"/>
        </w:rPr>
        <w:t>In Mode</w:t>
      </w:r>
      <w:r>
        <w:rPr>
          <w:rFonts w:ascii="Arial" w:hAnsi="Arial" w:cs="Arial"/>
        </w:rPr>
        <w:t xml:space="preserve"> 2, the transmitter selects the resources based on sensing, whereas in Mode 1, the resources are granted (dynamically or not) by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Therefore, the UE may find itself in the situation of having a </w:t>
      </w:r>
      <w:r w:rsidRPr="007D5CE6">
        <w:rPr>
          <w:rFonts w:ascii="Arial" w:hAnsi="Arial" w:cs="Arial"/>
        </w:rPr>
        <w:t xml:space="preserve">grant for Mode 1 and a grant for Mode 2 that are conflicting (e.g., for the same slot, etc.). </w:t>
      </w:r>
    </w:p>
    <w:p w14:paraId="12349ABE" w14:textId="77777777" w:rsidR="00CC7EF3" w:rsidRPr="007D5CE6" w:rsidRDefault="00CC7EF3" w:rsidP="00CC7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the case that both Mode 1 grant and Mode 2 grant are valid for the transmission, i</w:t>
      </w:r>
      <w:r w:rsidRPr="007D5CE6">
        <w:rPr>
          <w:rFonts w:ascii="Arial" w:hAnsi="Arial" w:cs="Arial"/>
        </w:rPr>
        <w:t>n our view, Mode 1 grants should be prioritized over Mode 2 grants for multiple reasons:</w:t>
      </w:r>
    </w:p>
    <w:p w14:paraId="072124DF" w14:textId="77777777" w:rsidR="00CC7EF3" w:rsidRPr="007D5CE6" w:rsidRDefault="00CC7EF3" w:rsidP="00CC7EF3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7D5CE6"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gNB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takes system-level decisions as opposed to the UE, who takes local-level decisions.</w:t>
      </w:r>
    </w:p>
    <w:p w14:paraId="1D903B2E" w14:textId="77777777" w:rsidR="00CC7EF3" w:rsidRPr="007D5CE6" w:rsidRDefault="00CC7EF3" w:rsidP="00CC7EF3">
      <w:pPr>
        <w:pStyle w:val="ListParagraph"/>
        <w:numPr>
          <w:ilvl w:val="0"/>
          <w:numId w:val="33"/>
        </w:num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gNB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can grant a UE resources with lower interference than those that can be selected autonomously by the UE.</w:t>
      </w:r>
    </w:p>
    <w:p w14:paraId="413B2815" w14:textId="77777777" w:rsidR="00CC7EF3" w:rsidRDefault="00CC7EF3" w:rsidP="00CC7EF3">
      <w:pPr>
        <w:pStyle w:val="Proposal"/>
      </w:pPr>
      <w:bookmarkStart w:id="1" w:name="_Toc7811248"/>
      <w:r>
        <w:lastRenderedPageBreak/>
        <w:t>For a specific transmission, if a UE has both valid Mode 1 and Mode 2 grants, it prioritizes the use of the Mode-1 grant over the Mode-2 grant.</w:t>
      </w:r>
      <w:bookmarkEnd w:id="1"/>
    </w:p>
    <w:p w14:paraId="157D7557" w14:textId="77777777" w:rsidR="00CC7EF3" w:rsidRPr="002406A6" w:rsidRDefault="00CC7EF3" w:rsidP="00CC7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different situation arises if certain LCHs can only be used with Mode 1 or Mode 2. In this case, the issue is about </w:t>
      </w:r>
      <w:r w:rsidRPr="002406A6">
        <w:rPr>
          <w:rFonts w:ascii="Arial" w:hAnsi="Arial" w:cs="Arial"/>
        </w:rPr>
        <w:t xml:space="preserve">prioritization between </w:t>
      </w:r>
      <w:r>
        <w:rPr>
          <w:rFonts w:ascii="Arial" w:hAnsi="Arial" w:cs="Arial"/>
        </w:rPr>
        <w:t>Mode 1</w:t>
      </w:r>
      <w:r w:rsidRPr="002406A6">
        <w:rPr>
          <w:rFonts w:ascii="Arial" w:hAnsi="Arial" w:cs="Arial"/>
        </w:rPr>
        <w:t xml:space="preserve"> transmission or </w:t>
      </w:r>
      <w:r>
        <w:rPr>
          <w:rFonts w:ascii="Arial" w:hAnsi="Arial" w:cs="Arial"/>
        </w:rPr>
        <w:t xml:space="preserve">Mode 2 </w:t>
      </w:r>
      <w:r w:rsidRPr="002406A6">
        <w:rPr>
          <w:rFonts w:ascii="Arial" w:hAnsi="Arial" w:cs="Arial"/>
        </w:rPr>
        <w:t xml:space="preserve">transmission. In our view, this can be handled by </w:t>
      </w:r>
      <w:r>
        <w:rPr>
          <w:rFonts w:ascii="Arial" w:hAnsi="Arial" w:cs="Arial"/>
        </w:rPr>
        <w:t>logical channel prioritization (LCP) procedure</w:t>
      </w:r>
      <w:r w:rsidRPr="002406A6">
        <w:rPr>
          <w:rFonts w:ascii="Arial" w:hAnsi="Arial" w:cs="Arial"/>
        </w:rPr>
        <w:t>, which is dependent on the priority of the relevant</w:t>
      </w:r>
      <w:r>
        <w:rPr>
          <w:rFonts w:ascii="Arial" w:hAnsi="Arial" w:cs="Arial"/>
        </w:rPr>
        <w:t xml:space="preserve"> SL radio bearer (</w:t>
      </w:r>
      <w:r w:rsidRPr="002406A6">
        <w:rPr>
          <w:rFonts w:ascii="Arial" w:hAnsi="Arial" w:cs="Arial"/>
        </w:rPr>
        <w:t>SLRB</w:t>
      </w:r>
      <w:r>
        <w:rPr>
          <w:rFonts w:ascii="Arial" w:hAnsi="Arial" w:cs="Arial"/>
        </w:rPr>
        <w:t>)</w:t>
      </w:r>
      <w:r w:rsidRPr="002406A6">
        <w:rPr>
          <w:rFonts w:ascii="Arial" w:hAnsi="Arial" w:cs="Arial"/>
        </w:rPr>
        <w:t xml:space="preserve"> and UE will always prioritize the one of higher priority.</w:t>
      </w:r>
    </w:p>
    <w:p w14:paraId="090B3791" w14:textId="77777777" w:rsidR="00CC7EF3" w:rsidRPr="001A7256" w:rsidRDefault="00CC7EF3" w:rsidP="00CC7EF3">
      <w:pPr>
        <w:pStyle w:val="Proposal"/>
      </w:pPr>
      <w:bookmarkStart w:id="2" w:name="_Toc7811249"/>
      <w:r>
        <w:t>If transmission of Mode1/2 SLRB can only use Mode 1/2 grant, LCP procedure handles the prioritization between Mode 1 and Mode 2 transmission.</w:t>
      </w:r>
      <w:bookmarkEnd w:id="2"/>
    </w:p>
    <w:p w14:paraId="0E5F688E" w14:textId="77777777" w:rsidR="00CC7EF3" w:rsidRDefault="00CC7EF3" w:rsidP="00CC7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When the Mode 1 or Mode 2 grant is dropped, UE may trigger the requesting/reselection of new SL grant. For Mode 1, a new SL SR/BSR will be triggered and sent to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For Mode 2, UE reselects other Mode 2 resources for transmission.  </w:t>
      </w:r>
    </w:p>
    <w:p w14:paraId="7D3ACFDF" w14:textId="77777777" w:rsidR="00CC7EF3" w:rsidRDefault="00CC7EF3" w:rsidP="00CC7EF3">
      <w:pPr>
        <w:pStyle w:val="Proposal"/>
      </w:pPr>
      <w:bookmarkStart w:id="3" w:name="_Toc7811250"/>
      <w:r>
        <w:t>A UE requests new Mode 1 grant via SL SR/BSR or reselects Mode 2 grant for transmission if the relevant grant is dropped.</w:t>
      </w:r>
      <w:bookmarkEnd w:id="3"/>
      <w:r>
        <w:t xml:space="preserve"> </w:t>
      </w:r>
    </w:p>
    <w:p w14:paraId="5445985E" w14:textId="77777777" w:rsidR="00CC7EF3" w:rsidRDefault="00CC7EF3" w:rsidP="00CC7E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the chance of Mode 1 and Mode 2 grants collision should be minimized. RAN1 should study the relevant approach, e.g. UE selects Mode 2 grants considering the current Mode 1 configured grants. </w:t>
      </w:r>
    </w:p>
    <w:p w14:paraId="0CF33FD1" w14:textId="77777777" w:rsidR="00CC7EF3" w:rsidRPr="00E57776" w:rsidRDefault="00CC7EF3" w:rsidP="00CC7EF3">
      <w:pPr>
        <w:pStyle w:val="Proposal"/>
      </w:pPr>
      <w:bookmarkStart w:id="4" w:name="_Toc7811251"/>
      <w:r>
        <w:t>RAN1 investigates the approach to minimize the chance of Mode 1 and Mode 2 grants collision.</w:t>
      </w:r>
      <w:bookmarkEnd w:id="4"/>
      <w:r>
        <w:t xml:space="preserve"> </w:t>
      </w:r>
    </w:p>
    <w:p w14:paraId="6AE3FD74" w14:textId="77777777" w:rsidR="00CC7EF3" w:rsidRDefault="00CC7EF3" w:rsidP="00CC7EF3">
      <w:pPr>
        <w:pStyle w:val="Heading1"/>
      </w:pPr>
      <w:r>
        <w:t>3</w:t>
      </w:r>
      <w:r>
        <w:tab/>
        <w:t>Receiver behaviour</w:t>
      </w:r>
    </w:p>
    <w:p w14:paraId="477F44C0" w14:textId="77777777" w:rsidR="00CC7EF3" w:rsidRPr="00564F84" w:rsidRDefault="00CC7EF3" w:rsidP="00CC7EF3">
      <w:pPr>
        <w:jc w:val="both"/>
        <w:rPr>
          <w:rFonts w:ascii="Arial" w:hAnsi="Arial" w:cs="Arial"/>
        </w:rPr>
      </w:pPr>
      <w:r w:rsidRPr="00564F84">
        <w:rPr>
          <w:rFonts w:ascii="Arial" w:hAnsi="Arial" w:cs="Arial"/>
        </w:rPr>
        <w:t>In our view,</w:t>
      </w:r>
      <w:r>
        <w:rPr>
          <w:rFonts w:ascii="Arial" w:hAnsi="Arial" w:cs="Arial"/>
        </w:rPr>
        <w:t xml:space="preserve"> the sidelink PHY signalling will not distinguish between Mode 1 and Mode 2 transmissions. Consequently, we do not expect any Mode-specific PHY receiver </w:t>
      </w:r>
      <w:proofErr w:type="spellStart"/>
      <w:r>
        <w:rPr>
          <w:rFonts w:ascii="Arial" w:hAnsi="Arial" w:cs="Arial"/>
        </w:rPr>
        <w:t>behavior</w:t>
      </w:r>
      <w:proofErr w:type="spellEnd"/>
      <w:r>
        <w:rPr>
          <w:rFonts w:ascii="Arial" w:hAnsi="Arial" w:cs="Arial"/>
        </w:rPr>
        <w:t xml:space="preserve">. </w:t>
      </w:r>
    </w:p>
    <w:p w14:paraId="787D4C18" w14:textId="77777777" w:rsidR="00CC7EF3" w:rsidRDefault="00CC7EF3" w:rsidP="00CC7EF3">
      <w:pPr>
        <w:pStyle w:val="Observation"/>
        <w:rPr>
          <w:rFonts w:cs="Arial"/>
        </w:rPr>
      </w:pPr>
      <w:bookmarkStart w:id="5" w:name="_Toc7811247"/>
      <w:r>
        <w:rPr>
          <w:rFonts w:cs="Arial"/>
        </w:rPr>
        <w:t>If t</w:t>
      </w:r>
      <w:r w:rsidRPr="002406A6">
        <w:rPr>
          <w:rFonts w:cs="Arial"/>
        </w:rPr>
        <w:t xml:space="preserve">he sidelink PHY signalling </w:t>
      </w:r>
      <w:r>
        <w:rPr>
          <w:rFonts w:cs="Arial"/>
        </w:rPr>
        <w:t>does</w:t>
      </w:r>
      <w:r w:rsidRPr="002406A6">
        <w:rPr>
          <w:rFonts w:cs="Arial"/>
        </w:rPr>
        <w:t xml:space="preserve"> not distinguish between Mode 1 and Mode 2 transmissions</w:t>
      </w:r>
      <w:r>
        <w:rPr>
          <w:rFonts w:cs="Arial"/>
        </w:rPr>
        <w:t xml:space="preserve">, there will be no Mode-specific receiver </w:t>
      </w:r>
      <w:proofErr w:type="spellStart"/>
      <w:r>
        <w:rPr>
          <w:rFonts w:cs="Arial"/>
        </w:rPr>
        <w:t>behavior</w:t>
      </w:r>
      <w:proofErr w:type="spellEnd"/>
      <w:r>
        <w:rPr>
          <w:rFonts w:cs="Arial"/>
        </w:rPr>
        <w:t>.</w:t>
      </w:r>
      <w:bookmarkEnd w:id="5"/>
      <w:r w:rsidRPr="002406A6">
        <w:rPr>
          <w:rFonts w:cs="Arial"/>
        </w:rPr>
        <w:t xml:space="preserve"> </w:t>
      </w:r>
    </w:p>
    <w:p w14:paraId="79DD2675" w14:textId="77777777" w:rsidR="00CC7EF3" w:rsidRPr="00CE0424" w:rsidRDefault="00CC7EF3" w:rsidP="00CC7EF3">
      <w:pPr>
        <w:pStyle w:val="Heading1"/>
      </w:pPr>
      <w:r>
        <w:t>4</w:t>
      </w:r>
      <w:r>
        <w:tab/>
      </w:r>
      <w:r w:rsidRPr="00CE0424">
        <w:t>Conclusion</w:t>
      </w:r>
    </w:p>
    <w:p w14:paraId="34194C84" w14:textId="77777777" w:rsidR="00CC7EF3" w:rsidRDefault="00CC7EF3" w:rsidP="00CC7EF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5DA43E9" w14:textId="7ACBFCB3" w:rsidR="00FB0E27" w:rsidRDefault="00CC7E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811247" w:history="1">
        <w:r w:rsidR="00FB0E27" w:rsidRPr="008E0713">
          <w:rPr>
            <w:rStyle w:val="Hyperlink"/>
            <w:rFonts w:cs="Arial"/>
            <w:noProof/>
          </w:rPr>
          <w:t>Observation 1</w:t>
        </w:r>
        <w:r w:rsidR="00FB0E2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FB0E27" w:rsidRPr="008E0713">
          <w:rPr>
            <w:rStyle w:val="Hyperlink"/>
            <w:rFonts w:cs="Arial"/>
            <w:noProof/>
          </w:rPr>
          <w:t>If the sidelink PHY signalling does not distinguish between Mode 1 and Mode 2 transmissions, there will be no Mode-specific receiver behavior.</w:t>
        </w:r>
      </w:hyperlink>
    </w:p>
    <w:p w14:paraId="47542373" w14:textId="75D2DFA2" w:rsidR="00CC7EF3" w:rsidRDefault="00CC7EF3" w:rsidP="00CC7EF3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bookmarkStart w:id="6" w:name="_GoBack"/>
    <w:bookmarkEnd w:id="6"/>
    <w:p w14:paraId="0598BB64" w14:textId="1914C232" w:rsidR="00FB0E27" w:rsidRDefault="00CC7E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811248" w:history="1">
        <w:r w:rsidR="00FB0E27" w:rsidRPr="003A359F">
          <w:rPr>
            <w:rStyle w:val="Hyperlink"/>
            <w:noProof/>
          </w:rPr>
          <w:t>Proposal 1</w:t>
        </w:r>
        <w:r w:rsidR="00FB0E2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FB0E27" w:rsidRPr="003A359F">
          <w:rPr>
            <w:rStyle w:val="Hyperlink"/>
            <w:noProof/>
          </w:rPr>
          <w:t>For a specific transmission, if a UE has both valid Mode 1 and Mode 2 grants, it prioritizes the use of the Mode-1 grant over the Mode-2 grant.</w:t>
        </w:r>
      </w:hyperlink>
    </w:p>
    <w:p w14:paraId="4F5997C3" w14:textId="34025BD8" w:rsidR="00FB0E27" w:rsidRDefault="00FB0E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249" w:history="1">
        <w:r w:rsidRPr="003A359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3A359F">
          <w:rPr>
            <w:rStyle w:val="Hyperlink"/>
            <w:noProof/>
          </w:rPr>
          <w:t>If transmission of Mode1/2 SLRB can only use Mode 1/2 grant, LCP procedure handles the prioritization between Mode 1 and Mode 2 transmission.</w:t>
        </w:r>
      </w:hyperlink>
    </w:p>
    <w:p w14:paraId="3B1FE2AA" w14:textId="28E712FC" w:rsidR="00FB0E27" w:rsidRDefault="00FB0E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250" w:history="1">
        <w:r w:rsidRPr="003A359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3A359F">
          <w:rPr>
            <w:rStyle w:val="Hyperlink"/>
            <w:noProof/>
          </w:rPr>
          <w:t>A UE requests new Mode 1 grant via SL SR/BSR or reselects Mode 2 grant for transmission if the relevant grant is dropped.</w:t>
        </w:r>
      </w:hyperlink>
    </w:p>
    <w:p w14:paraId="514770E5" w14:textId="219848C1" w:rsidR="00FB0E27" w:rsidRDefault="00FB0E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811251" w:history="1">
        <w:r w:rsidRPr="003A359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3A359F">
          <w:rPr>
            <w:rStyle w:val="Hyperlink"/>
            <w:noProof/>
          </w:rPr>
          <w:t>RAN1 investigates the approach to minimize the chance of Mode 1 and Mode 2 grants collision.</w:t>
        </w:r>
      </w:hyperlink>
    </w:p>
    <w:p w14:paraId="003814FA" w14:textId="6915D4FC" w:rsidR="00CC7EF3" w:rsidRPr="00CE0424" w:rsidRDefault="00CC7EF3" w:rsidP="00CC7EF3">
      <w:pPr>
        <w:pStyle w:val="TableofFigures"/>
        <w:rPr>
          <w:bCs/>
        </w:rPr>
      </w:pPr>
      <w:r>
        <w:rPr>
          <w:b w:val="0"/>
          <w:bCs/>
          <w:lang w:val="en-US"/>
        </w:rPr>
        <w:fldChar w:fldCharType="end"/>
      </w:r>
    </w:p>
    <w:sectPr w:rsidR="00CC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BAF48" w14:textId="77777777" w:rsidR="007175F9" w:rsidRDefault="007175F9">
      <w:r>
        <w:separator/>
      </w:r>
    </w:p>
  </w:endnote>
  <w:endnote w:type="continuationSeparator" w:id="0">
    <w:p w14:paraId="1B07F647" w14:textId="77777777" w:rsidR="007175F9" w:rsidRDefault="0071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1BD59" w14:textId="77777777" w:rsidR="007175F9" w:rsidRDefault="007175F9">
      <w:r>
        <w:separator/>
      </w:r>
    </w:p>
  </w:footnote>
  <w:footnote w:type="continuationSeparator" w:id="0">
    <w:p w14:paraId="22C7598F" w14:textId="77777777" w:rsidR="007175F9" w:rsidRDefault="00717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E6D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5EEA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55514"/>
    <w:multiLevelType w:val="hybridMultilevel"/>
    <w:tmpl w:val="57F49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F75679"/>
    <w:multiLevelType w:val="hybridMultilevel"/>
    <w:tmpl w:val="417203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B4F37"/>
    <w:multiLevelType w:val="hybridMultilevel"/>
    <w:tmpl w:val="7C4CFD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417D34"/>
    <w:multiLevelType w:val="hybridMultilevel"/>
    <w:tmpl w:val="1D3608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F6709"/>
    <w:multiLevelType w:val="hybridMultilevel"/>
    <w:tmpl w:val="FB742896"/>
    <w:lvl w:ilvl="0" w:tplc="DE52A32A">
      <w:start w:val="1"/>
      <w:numFmt w:val="decimal"/>
      <w:lvlText w:val="%1"/>
      <w:lvlJc w:val="left"/>
      <w:pPr>
        <w:ind w:left="2552" w:hanging="13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27" w:hanging="360"/>
      </w:pPr>
    </w:lvl>
    <w:lvl w:ilvl="2" w:tplc="2000001B" w:tentative="1">
      <w:start w:val="1"/>
      <w:numFmt w:val="lowerRoman"/>
      <w:lvlText w:val="%3."/>
      <w:lvlJc w:val="right"/>
      <w:pPr>
        <w:ind w:left="3047" w:hanging="180"/>
      </w:pPr>
    </w:lvl>
    <w:lvl w:ilvl="3" w:tplc="2000000F" w:tentative="1">
      <w:start w:val="1"/>
      <w:numFmt w:val="decimal"/>
      <w:lvlText w:val="%4."/>
      <w:lvlJc w:val="left"/>
      <w:pPr>
        <w:ind w:left="3767" w:hanging="360"/>
      </w:pPr>
    </w:lvl>
    <w:lvl w:ilvl="4" w:tplc="20000019" w:tentative="1">
      <w:start w:val="1"/>
      <w:numFmt w:val="lowerLetter"/>
      <w:lvlText w:val="%5."/>
      <w:lvlJc w:val="left"/>
      <w:pPr>
        <w:ind w:left="4487" w:hanging="360"/>
      </w:pPr>
    </w:lvl>
    <w:lvl w:ilvl="5" w:tplc="2000001B" w:tentative="1">
      <w:start w:val="1"/>
      <w:numFmt w:val="lowerRoman"/>
      <w:lvlText w:val="%6."/>
      <w:lvlJc w:val="right"/>
      <w:pPr>
        <w:ind w:left="5207" w:hanging="180"/>
      </w:pPr>
    </w:lvl>
    <w:lvl w:ilvl="6" w:tplc="2000000F" w:tentative="1">
      <w:start w:val="1"/>
      <w:numFmt w:val="decimal"/>
      <w:lvlText w:val="%7."/>
      <w:lvlJc w:val="left"/>
      <w:pPr>
        <w:ind w:left="5927" w:hanging="360"/>
      </w:pPr>
    </w:lvl>
    <w:lvl w:ilvl="7" w:tplc="20000019" w:tentative="1">
      <w:start w:val="1"/>
      <w:numFmt w:val="lowerLetter"/>
      <w:lvlText w:val="%8."/>
      <w:lvlJc w:val="left"/>
      <w:pPr>
        <w:ind w:left="6647" w:hanging="360"/>
      </w:pPr>
    </w:lvl>
    <w:lvl w:ilvl="8" w:tplc="2000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D527F"/>
    <w:multiLevelType w:val="hybridMultilevel"/>
    <w:tmpl w:val="1EE8FF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8111F0D"/>
    <w:multiLevelType w:val="hybridMultilevel"/>
    <w:tmpl w:val="C7DCF6DA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5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9"/>
  </w:num>
  <w:num w:numId="19">
    <w:abstractNumId w:val="5"/>
  </w:num>
  <w:num w:numId="20">
    <w:abstractNumId w:val="31"/>
  </w:num>
  <w:num w:numId="21">
    <w:abstractNumId w:val="16"/>
  </w:num>
  <w:num w:numId="22">
    <w:abstractNumId w:val="29"/>
  </w:num>
  <w:num w:numId="23">
    <w:abstractNumId w:val="3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  <w:num w:numId="26">
    <w:abstractNumId w:val="7"/>
  </w:num>
  <w:num w:numId="27">
    <w:abstractNumId w:val="28"/>
  </w:num>
  <w:num w:numId="28">
    <w:abstractNumId w:val="26"/>
  </w:num>
  <w:num w:numId="29">
    <w:abstractNumId w:val="6"/>
  </w:num>
  <w:num w:numId="30">
    <w:abstractNumId w:val="12"/>
  </w:num>
  <w:num w:numId="31">
    <w:abstractNumId w:val="22"/>
  </w:num>
  <w:num w:numId="32">
    <w:abstractNumId w:val="32"/>
  </w:num>
  <w:num w:numId="3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3C5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F77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0B0"/>
    <w:rsid w:val="0028280A"/>
    <w:rsid w:val="0028584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45"/>
    <w:rsid w:val="004431DC"/>
    <w:rsid w:val="00444F56"/>
    <w:rsid w:val="00446488"/>
    <w:rsid w:val="004517AA"/>
    <w:rsid w:val="00452CAC"/>
    <w:rsid w:val="00457565"/>
    <w:rsid w:val="00457B71"/>
    <w:rsid w:val="00461DDF"/>
    <w:rsid w:val="004669E2"/>
    <w:rsid w:val="00470C31"/>
    <w:rsid w:val="00471DE0"/>
    <w:rsid w:val="004734D0"/>
    <w:rsid w:val="0047556B"/>
    <w:rsid w:val="00477768"/>
    <w:rsid w:val="00486F1D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251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30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175F9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39A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922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0CA0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19D0"/>
    <w:rsid w:val="00BA2280"/>
    <w:rsid w:val="00BA2A08"/>
    <w:rsid w:val="00BA56D2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348"/>
    <w:rsid w:val="00CC7B45"/>
    <w:rsid w:val="00CC7EF3"/>
    <w:rsid w:val="00CD1188"/>
    <w:rsid w:val="00CD2ED1"/>
    <w:rsid w:val="00CD337B"/>
    <w:rsid w:val="00CE0424"/>
    <w:rsid w:val="00CE0BF7"/>
    <w:rsid w:val="00CE6E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96B"/>
    <w:rsid w:val="00DF0B6E"/>
    <w:rsid w:val="00DF15E0"/>
    <w:rsid w:val="00DF37A0"/>
    <w:rsid w:val="00E110E7"/>
    <w:rsid w:val="00E11B20"/>
    <w:rsid w:val="00E17FA2"/>
    <w:rsid w:val="00E22330"/>
    <w:rsid w:val="00E23EF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994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E27"/>
    <w:rsid w:val="00FB1D80"/>
    <w:rsid w:val="00FB4C80"/>
    <w:rsid w:val="00FB6A6A"/>
    <w:rsid w:val="00FC3C7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98AA9-90B3-497E-801B-CDCAFBA7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4532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2019-05-03T18:27:00Z</dcterms:created>
  <dcterms:modified xsi:type="dcterms:W3CDTF">2019-05-03T18:27:00Z</dcterms:modified>
  <cp:category/>
</cp:coreProperties>
</file>